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C47" w:rsidRDefault="00556C47" w:rsidP="00556C47">
      <w:pPr>
        <w:jc w:val="both"/>
        <w:rPr>
          <w:rFonts w:ascii="Arial Narrow" w:eastAsiaTheme="minorHAnsi" w:hAnsi="Arial Narrow"/>
          <w:sz w:val="24"/>
          <w:szCs w:val="24"/>
        </w:rPr>
      </w:pPr>
      <w:r>
        <w:rPr>
          <w:rFonts w:asciiTheme="minorHAnsi" w:eastAsiaTheme="minorHAnsi" w:hAnsiTheme="minorHAnsi"/>
          <w:noProof/>
          <w:sz w:val="24"/>
          <w:szCs w:val="24"/>
          <w:lang w:eastAsia="el-GR"/>
        </w:rPr>
        <w:drawing>
          <wp:anchor distT="0" distB="0" distL="0" distR="0" simplePos="0" relativeHeight="251659264" behindDoc="0" locked="0" layoutInCell="1" allowOverlap="1" wp14:anchorId="5AF69883" wp14:editId="4145BA06">
            <wp:simplePos x="0" y="0"/>
            <wp:positionH relativeFrom="column">
              <wp:posOffset>12065</wp:posOffset>
            </wp:positionH>
            <wp:positionV relativeFrom="paragraph">
              <wp:posOffset>215900</wp:posOffset>
            </wp:positionV>
            <wp:extent cx="771525" cy="1200150"/>
            <wp:effectExtent l="0" t="0" r="9525" b="0"/>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1200150"/>
                    </a:xfrm>
                    <a:prstGeom prst="rect">
                      <a:avLst/>
                    </a:prstGeom>
                    <a:noFill/>
                  </pic:spPr>
                </pic:pic>
              </a:graphicData>
            </a:graphic>
            <wp14:sizeRelH relativeFrom="page">
              <wp14:pctWidth>0</wp14:pctWidth>
            </wp14:sizeRelH>
            <wp14:sizeRelV relativeFrom="page">
              <wp14:pctHeight>0</wp14:pctHeight>
            </wp14:sizeRelV>
          </wp:anchor>
        </w:drawing>
      </w:r>
    </w:p>
    <w:p w:rsidR="00556C47" w:rsidRDefault="00556C47" w:rsidP="00556C47">
      <w:pPr>
        <w:ind w:right="245"/>
        <w:jc w:val="both"/>
        <w:rPr>
          <w:rFonts w:ascii="Arial Narrow" w:eastAsia="Times New Roman" w:hAnsi="Arial Narrow" w:cs="Tahoma"/>
          <w:b/>
          <w:bCs/>
          <w:color w:val="000000"/>
          <w:lang w:eastAsia="el-GR"/>
        </w:rPr>
      </w:pPr>
    </w:p>
    <w:p w:rsidR="00556C47" w:rsidRDefault="00556C47" w:rsidP="00556C47">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eastAsia="Times New Roman" w:hAnsi="Arial Narrow" w:cs="Tahoma"/>
          <w:b/>
          <w:bCs/>
          <w:i/>
          <w:iCs/>
          <w:color w:val="FFFFFF"/>
          <w:lang w:eastAsia="el-GR"/>
        </w:rPr>
      </w:pPr>
      <w:r>
        <w:rPr>
          <w:rFonts w:ascii="Arial Narrow" w:eastAsia="Times New Roman" w:hAnsi="Arial Narrow" w:cs="Tahoma"/>
          <w:b/>
          <w:bCs/>
          <w:i/>
          <w:iCs/>
          <w:color w:val="FFFFFF"/>
          <w:lang w:eastAsia="el-GR"/>
        </w:rPr>
        <w:t xml:space="preserve">                                     ΑΝΕΞΑΡΤΗΤΗ ΡΙΖΟΣΠΑΣΤΙΚΗ ΠΑΡΕΜΒΑΣΗ </w:t>
      </w:r>
    </w:p>
    <w:p w:rsidR="00556C47" w:rsidRDefault="00556C47" w:rsidP="00556C47">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eastAsiaTheme="minorHAnsi" w:hAnsi="Arial Narrow" w:cstheme="minorBidi"/>
        </w:rPr>
      </w:pPr>
      <w:r>
        <w:rPr>
          <w:rFonts w:ascii="Arial Narrow" w:eastAsia="Times New Roman" w:hAnsi="Arial Narrow" w:cs="Tahoma"/>
          <w:b/>
          <w:bCs/>
          <w:i/>
          <w:iCs/>
          <w:color w:val="FFFFFF"/>
          <w:lang w:eastAsia="el-GR"/>
        </w:rPr>
        <w:t xml:space="preserve">                                        ΕΚΠΑΙΔΕΥΤΙΚΩΝ ΠΕ ΠΕΡΙΣΤΕΡΙΟΥ </w:t>
      </w:r>
    </w:p>
    <w:p w:rsidR="00556C47" w:rsidRDefault="00556C47" w:rsidP="00556C47">
      <w:pPr>
        <w:pBdr>
          <w:top w:val="single" w:sz="4" w:space="1" w:color="000000"/>
          <w:left w:val="single" w:sz="4" w:space="4" w:color="000000"/>
          <w:bottom w:val="single" w:sz="4" w:space="1" w:color="000000"/>
          <w:right w:val="single" w:sz="4" w:space="4" w:color="000000"/>
        </w:pBdr>
        <w:spacing w:after="0" w:line="240" w:lineRule="auto"/>
        <w:ind w:right="245"/>
        <w:jc w:val="both"/>
        <w:rPr>
          <w:rFonts w:ascii="Arial Narrow" w:hAnsi="Arial Narrow"/>
        </w:rPr>
      </w:pPr>
      <w:r>
        <w:rPr>
          <w:rFonts w:ascii="Arial Narrow" w:eastAsia="Times New Roman" w:hAnsi="Arial Narrow" w:cs="Tahoma"/>
          <w:b/>
          <w:bCs/>
          <w:color w:val="000000"/>
          <w:lang w:eastAsia="el-GR"/>
        </w:rPr>
        <w:t xml:space="preserve">                                     ΠΑΡΕΜΒΑΣΕΙΣ ΚΙΝΗΣΕΙΣ ΣΥΣΠΕΙΡΩΣΕΙΣ Π.Ε.</w:t>
      </w:r>
    </w:p>
    <w:p w:rsidR="00556C47" w:rsidRDefault="00556C47" w:rsidP="00556C47">
      <w:pPr>
        <w:jc w:val="both"/>
        <w:rPr>
          <w:rFonts w:ascii="Arial Narrow" w:hAnsi="Arial Narrow"/>
          <w:b/>
        </w:rPr>
      </w:pPr>
    </w:p>
    <w:p w:rsidR="00556C47" w:rsidRDefault="00556C47" w:rsidP="00556C47">
      <w:pPr>
        <w:spacing w:line="240" w:lineRule="auto"/>
        <w:jc w:val="center"/>
        <w:rPr>
          <w:rFonts w:ascii="Arial Narrow" w:hAnsi="Arial Narrow"/>
          <w:b/>
          <w:sz w:val="40"/>
          <w:szCs w:val="40"/>
        </w:rPr>
      </w:pPr>
      <w:r>
        <w:rPr>
          <w:rFonts w:ascii="Arial Narrow" w:hAnsi="Arial Narrow"/>
          <w:b/>
          <w:sz w:val="40"/>
          <w:szCs w:val="40"/>
        </w:rPr>
        <w:t>ΝΗΠΙΑΓΩΓΕΙΑ: ΩΡΑ ΜΗΔΕΝ</w:t>
      </w:r>
    </w:p>
    <w:p w:rsidR="00556C47" w:rsidRDefault="00556C47" w:rsidP="00556C47">
      <w:pPr>
        <w:spacing w:line="240" w:lineRule="auto"/>
        <w:ind w:firstLine="720"/>
        <w:jc w:val="both"/>
        <w:rPr>
          <w:rFonts w:ascii="Arial Narrow" w:hAnsi="Arial Narrow"/>
          <w:sz w:val="24"/>
          <w:szCs w:val="24"/>
        </w:rPr>
      </w:pPr>
      <w:r>
        <w:rPr>
          <w:rFonts w:ascii="Arial Narrow" w:hAnsi="Arial Narrow"/>
        </w:rPr>
        <w:t>Ενώ η νομοθετική κατοχύρωση της δίχρονης υποχρεωτικής προσχολικής εκπαίδευσης αύξησε τις ανάγκες για μόνιμες θέσεις εργασίας, οι κυβερνήσεις χρησιμοποίησαν την κατάκτηση αυτή για να ενισχύσουν και να διευρύνουν τις ελαστικές σχέσεις εργασίας. Το υπ. παιδείας, παρά το γεγονός ότι οι αναπληρωτές/</w:t>
      </w:r>
      <w:proofErr w:type="spellStart"/>
      <w:r>
        <w:rPr>
          <w:rFonts w:ascii="Arial Narrow" w:hAnsi="Arial Narrow"/>
        </w:rPr>
        <w:t>τριες</w:t>
      </w:r>
      <w:proofErr w:type="spellEnd"/>
      <w:r>
        <w:rPr>
          <w:rFonts w:ascii="Arial Narrow" w:hAnsi="Arial Narrow"/>
        </w:rPr>
        <w:t xml:space="preserve"> κάθε χρόνο αναπληρώνουν τον εαυτό τους,  εξακολουθεί να μην δημιουργεί οργανικές θέσεις στα νηπιαγωγεία. Τα κενά, μετά την εφαρμογή της δίχρονης όφειλαν να είναι οργανικά και να είχαν ήδη δοθεί στους διορισμούς που έγιναν.  Κάτι που </w:t>
      </w:r>
      <w:r w:rsidR="00C92A80">
        <w:rPr>
          <w:rFonts w:ascii="Arial Narrow" w:hAnsi="Arial Narrow"/>
        </w:rPr>
        <w:t xml:space="preserve">ΔΕΝ </w:t>
      </w:r>
      <w:r>
        <w:rPr>
          <w:rFonts w:ascii="Arial Narrow" w:hAnsi="Arial Narrow"/>
        </w:rPr>
        <w:t xml:space="preserve">έγινε, καθώς το υπ. παιδείας εξακολουθεί να διευρύνει τις ελαστική εργασία στο δημόσιο σχολείο. Το ίδιο ισχύει και στην ειδική αγωγή, καθώς </w:t>
      </w:r>
      <w:r>
        <w:rPr>
          <w:rFonts w:ascii="Arial Narrow" w:hAnsi="Arial Narrow"/>
          <w:b/>
        </w:rPr>
        <w:t>νέα ειδικά νηπιαγωγεία δεν ιδρύονται</w:t>
      </w:r>
      <w:r>
        <w:rPr>
          <w:rFonts w:ascii="Arial Narrow" w:hAnsi="Arial Narrow"/>
        </w:rPr>
        <w:t xml:space="preserve">, με αποτέλεσμα οι μαθητές με αναπηρία/ ή και ειδικές εκπαιδευτικές ανάγκες να μην έχουν την υποστήριξη που τους αντιστοιχεί, καθώς η </w:t>
      </w:r>
      <w:proofErr w:type="spellStart"/>
      <w:r>
        <w:rPr>
          <w:rFonts w:ascii="Arial Narrow" w:hAnsi="Arial Narrow"/>
        </w:rPr>
        <w:t>υποστελέχωση</w:t>
      </w:r>
      <w:proofErr w:type="spellEnd"/>
      <w:r>
        <w:rPr>
          <w:rFonts w:ascii="Arial Narrow" w:hAnsi="Arial Narrow"/>
        </w:rPr>
        <w:t xml:space="preserve"> των ήδη υπαρχόντων ειδικών νηπιαγωγείων, αλλά και η απουσία νέων, οδηγεί τις οικογένειες των μικρών μαθητών σε ατομικές λύσεις (ιδιώτες ειδικοί βοηθοί) εντός των γενικών σχολείων. </w:t>
      </w:r>
    </w:p>
    <w:p w:rsidR="00556C47" w:rsidRDefault="00556C47" w:rsidP="00556C47">
      <w:pPr>
        <w:spacing w:line="240" w:lineRule="auto"/>
        <w:ind w:firstLine="720"/>
        <w:jc w:val="both"/>
        <w:rPr>
          <w:rFonts w:ascii="Arial Narrow" w:hAnsi="Arial Narrow"/>
        </w:rPr>
      </w:pPr>
      <w:r>
        <w:rPr>
          <w:rFonts w:ascii="Arial Narrow" w:hAnsi="Arial Narrow"/>
        </w:rPr>
        <w:t xml:space="preserve">Η απουσία μόνιμων νηπιαγωγών στα Νηπιαγωγεία της χώρας δημιουργεί σοβαρά προβλήματα στη  λειτουργία τους. Χωρίς μόνιμο εκπαιδευτικό προσωπικό δεν μπορεί να δημιουργηθεί σχέση εμπιστοσύνης ανάμεσα στο σχολείο και στην οικογένεια. Η μη σταθερή σύνθεση του Συλλόγου Διδασκόντων τορπιλίζει την καλλιέργεια συνεργασίας σε σταθερή βάση, με μακροπρόθεσμα αρνητικά αποτελέσματα.  Η διογκούμενη γραφειοκρατία, τα αντικειμενικά προβλήματα διαβίωσης των εκπαιδευτικών λόγω του προβλήματος της στέγης, της ακρίβειας και της καθήλωσης των μισθών, δυσκολεύουν την καθημερινότητά τους. </w:t>
      </w:r>
    </w:p>
    <w:p w:rsidR="00556C47" w:rsidRDefault="00556C47" w:rsidP="00556C47">
      <w:pPr>
        <w:spacing w:line="240" w:lineRule="auto"/>
        <w:ind w:firstLine="720"/>
        <w:jc w:val="both"/>
        <w:rPr>
          <w:rFonts w:ascii="Arial Narrow" w:hAnsi="Arial Narrow"/>
          <w:b/>
          <w:u w:val="single"/>
        </w:rPr>
      </w:pPr>
      <w:r>
        <w:rPr>
          <w:rFonts w:ascii="Arial Narrow" w:hAnsi="Arial Narrow"/>
        </w:rPr>
        <w:t>Η κυβέρνηση διατυμπανίζει τις προσλήψεις ελαστικά εργαζόμενων στην εκπαίδευση, αντί για μόνιμους μαζικούς διορισμούς και ταυτόχρονα αποσιωπά ένα σοβαρό ποιοτικό δεδομένο, που με «κόπο και υπερβάλλοντα ζήλο» δημιούργησε: τα 25αρια τμήματα, με τα οποία εξοικονομεί προσωπικό και βάζει τις βάσεις  για καλλιέργεια κουλτούρας αποδοχής μια νέας πραγματικότητας.  Στη νέα πολυπληθή τάξη των 25 μαθητών, φοιτούν και μαθητές με αναπηρία/ή και ειδικές εκπαιδευτικές ανάγκες, οι οποίοι στην πλειοψηφία τους μένουν χωρίς την ατομική υποστήριξη που δικαιούνται, καθώς ένας/ μια εκπαιδευτικός παράλληλης στήριξης, είτε με προφορικές οδηγίες είτε με ή «διευκρινιστικές νομοθετικές οδηγίες» μοιράζεται σε 2 ή και περισσότερους μαθητές. Οι</w:t>
      </w:r>
      <w:r>
        <w:rPr>
          <w:rFonts w:ascii="Arial Narrow" w:hAnsi="Arial Narrow"/>
          <w:b/>
        </w:rPr>
        <w:t xml:space="preserve"> συγχωνεύσεις των δημόσιων νηπιαγωγείων</w:t>
      </w:r>
      <w:r>
        <w:rPr>
          <w:rFonts w:ascii="Arial Narrow" w:hAnsi="Arial Narrow"/>
        </w:rPr>
        <w:t xml:space="preserve"> φαίνεται να αποτελούν τον πρώτο στόχο του υπ. παιδείας. Διόλου τυχαίο, αφού νομοθέτησε πρόσφατα την είσοδο ιδιωτών </w:t>
      </w:r>
      <w:proofErr w:type="spellStart"/>
      <w:r>
        <w:rPr>
          <w:rFonts w:ascii="Arial Narrow" w:hAnsi="Arial Narrow"/>
        </w:rPr>
        <w:t>παρόχων</w:t>
      </w:r>
      <w:proofErr w:type="spellEnd"/>
      <w:r>
        <w:rPr>
          <w:rFonts w:ascii="Arial Narrow" w:hAnsi="Arial Narrow"/>
        </w:rPr>
        <w:t xml:space="preserve"> εντός τους, μέσα από το πιλοτικό πρόγραμμα πρώιμης παρέμβασης του ταμείου ανάκαμψης με 35 εκ. ευρώ, που αποτελεί στην πράξη την πρώτη δοκιμαστική προσπάθεια για την καθολική επικράτηση</w:t>
      </w:r>
      <w:r>
        <w:rPr>
          <w:rFonts w:ascii="Arial Narrow" w:hAnsi="Arial Narrow"/>
          <w:b/>
          <w:u w:val="single"/>
        </w:rPr>
        <w:t>, μέσα από κουπόνια στο δημόσιο νηπιαγωγείο και την εκπαίδευση γενικότερα.</w:t>
      </w:r>
      <w:r>
        <w:rPr>
          <w:rFonts w:ascii="Arial Narrow" w:hAnsi="Arial Narrow"/>
        </w:rPr>
        <w:t xml:space="preserve"> Την ίδια στιγμή συγχωνεύσεις, αλλά και συμπτύξεις τμημάτων διαμορφώνουν μια νέα πραγματικότητα που στόχος είναι να αποτελέσει την τωρινή και μελλοντική κανονικότητα για όλους: </w:t>
      </w:r>
      <w:r>
        <w:rPr>
          <w:rFonts w:ascii="Arial Narrow" w:hAnsi="Arial Narrow"/>
          <w:u w:val="single"/>
        </w:rPr>
        <w:t xml:space="preserve">Τα 25αρια τμήματα (με όλα τα αρνητικά επακόλουθα για την εκπαίδευση, την κοινωνική και συναισθηματική ανάπτυξη των μαθητών)  είναι η  νέα κανονικότητα για όλη την εκπαιδευτική διαδρομή των παιδιών και σε αυτή πρέπει να συνηθίζουν οι πάντες: μαθητές, εκπαιδευτικοί και γονείς. Η επαναφορά σε συνθήκες παλαιότερων εποχών, όπου η μόρφωση θα είναι ατομική υπόθεση είναι το όραμα της κυβέρνησης. Η κρατική ευθύνη για μια δημόσια και δωρεάν εκπαίδευση των μαθητών και το συλλογικό τους δικαίωμα για αυτήν μπαίνει στο χρονοντούλαπο της ιστορίας. </w:t>
      </w:r>
      <w:r>
        <w:rPr>
          <w:rFonts w:ascii="Arial Narrow" w:hAnsi="Arial Narrow"/>
          <w:b/>
          <w:u w:val="single"/>
        </w:rPr>
        <w:t xml:space="preserve"> </w:t>
      </w:r>
    </w:p>
    <w:p w:rsidR="00556C47" w:rsidRDefault="00556C47" w:rsidP="00556C47">
      <w:pPr>
        <w:spacing w:before="100" w:beforeAutospacing="1" w:after="100" w:afterAutospacing="1" w:line="240" w:lineRule="auto"/>
        <w:jc w:val="both"/>
        <w:rPr>
          <w:rFonts w:ascii="Arial Narrow" w:eastAsia="Times New Roman" w:hAnsi="Arial Narrow"/>
          <w:lang w:eastAsia="el-GR"/>
        </w:rPr>
      </w:pPr>
      <w:r>
        <w:rPr>
          <w:rFonts w:ascii="Arial Narrow" w:eastAsia="Times New Roman" w:hAnsi="Arial Narrow"/>
          <w:b/>
          <w:bCs/>
          <w:lang w:eastAsia="el-GR"/>
        </w:rPr>
        <w:t xml:space="preserve">ΑΠΑΙΤΟΥΜΕ: </w:t>
      </w:r>
    </w:p>
    <w:p w:rsidR="00556C47" w:rsidRDefault="00556C47" w:rsidP="00556C47">
      <w:pPr>
        <w:pStyle w:val="a3"/>
        <w:numPr>
          <w:ilvl w:val="0"/>
          <w:numId w:val="1"/>
        </w:numPr>
        <w:spacing w:after="160" w:line="276" w:lineRule="auto"/>
        <w:jc w:val="both"/>
        <w:rPr>
          <w:rFonts w:ascii="Arial Narrow" w:eastAsiaTheme="minorHAnsi" w:hAnsi="Arial Narrow" w:cstheme="minorBidi"/>
          <w:kern w:val="2"/>
          <w:lang w:eastAsia="en-US"/>
          <w14:ligatures w14:val="standardContextual"/>
        </w:rPr>
      </w:pPr>
      <w:r>
        <w:rPr>
          <w:rFonts w:ascii="Arial Narrow" w:hAnsi="Arial Narrow"/>
        </w:rPr>
        <w:t xml:space="preserve">15% για την παιδεία από τον κρατικό προϋπολογισμό. </w:t>
      </w:r>
    </w:p>
    <w:p w:rsidR="00556C47" w:rsidRDefault="00556C47" w:rsidP="00556C47">
      <w:pPr>
        <w:pStyle w:val="a3"/>
        <w:numPr>
          <w:ilvl w:val="0"/>
          <w:numId w:val="1"/>
        </w:numPr>
        <w:spacing w:after="160" w:line="276" w:lineRule="auto"/>
        <w:jc w:val="both"/>
        <w:rPr>
          <w:rFonts w:ascii="Arial Narrow" w:hAnsi="Arial Narrow"/>
        </w:rPr>
      </w:pPr>
      <w:r>
        <w:rPr>
          <w:rFonts w:ascii="Arial Narrow" w:hAnsi="Arial Narrow"/>
        </w:rPr>
        <w:t>Μαζικοί μόνιμοι διορισμοί εκπαιδευτικών για την κάλυψη όλων των αναγκών. Άμεσος διορισμός/Μονιμοποίηση ΤΩΡΑ ΟΛΩΝ των αναπληρωτών που έχουν έστω και μία σύμβαση αποκλειστικά με βάση το πτυχίο και ολόκληρη την προϋπηρεσία.</w:t>
      </w:r>
    </w:p>
    <w:p w:rsidR="00556C47" w:rsidRDefault="00556C47" w:rsidP="00556C47">
      <w:pPr>
        <w:pStyle w:val="a3"/>
        <w:numPr>
          <w:ilvl w:val="0"/>
          <w:numId w:val="1"/>
        </w:numPr>
        <w:spacing w:after="160" w:line="276" w:lineRule="auto"/>
        <w:jc w:val="both"/>
        <w:rPr>
          <w:rFonts w:ascii="Arial Narrow" w:hAnsi="Arial Narrow"/>
        </w:rPr>
      </w:pPr>
      <w:r>
        <w:rPr>
          <w:rFonts w:ascii="Arial Narrow" w:hAnsi="Arial Narrow"/>
        </w:rPr>
        <w:t>Μείωση των μαθητών ανά τμήμα/Στο Νηπιαγωγείο αναλογία εκπαιδευτικών-μαθητών 1/15</w:t>
      </w:r>
    </w:p>
    <w:p w:rsidR="00556C47" w:rsidRDefault="00556C47" w:rsidP="00556C47">
      <w:pPr>
        <w:pStyle w:val="a3"/>
        <w:numPr>
          <w:ilvl w:val="0"/>
          <w:numId w:val="1"/>
        </w:numPr>
        <w:spacing w:after="160" w:line="276" w:lineRule="auto"/>
        <w:jc w:val="both"/>
        <w:rPr>
          <w:rFonts w:ascii="Arial Narrow" w:hAnsi="Arial Narrow"/>
        </w:rPr>
      </w:pPr>
      <w:r>
        <w:rPr>
          <w:rFonts w:ascii="Arial Narrow" w:hAnsi="Arial Narrow"/>
        </w:rPr>
        <w:t>Μείωση ωραρίου των νηπιαγωγών στη βάση  της απόφασης της  91ης Γενικής Συνέλευσης της ΔΟΕ (26 – 29/06/2022) που έλαβε ομόφωνη απόφαση για άρση της ανισότητας του διδακτικού ωραρίου των εκπαιδευτικών ολιγοθέσιων σχολικών μονάδων (νηπιαγωγών, δασκάλων, ειδικοτήτων) σε σχέση με το αντίστοιχο των υπόλοιπων εκπαιδευτικών της πρωτοβάθμιας εκπαίδευσης</w:t>
      </w:r>
    </w:p>
    <w:p w:rsidR="00556C47" w:rsidRDefault="00556C47" w:rsidP="00556C47">
      <w:pPr>
        <w:pStyle w:val="a3"/>
        <w:numPr>
          <w:ilvl w:val="0"/>
          <w:numId w:val="1"/>
        </w:numPr>
        <w:spacing w:after="160" w:line="276" w:lineRule="auto"/>
        <w:jc w:val="both"/>
        <w:rPr>
          <w:rFonts w:ascii="Arial Narrow" w:hAnsi="Arial Narrow"/>
        </w:rPr>
      </w:pPr>
      <w:r>
        <w:rPr>
          <w:rFonts w:ascii="Arial Narrow" w:hAnsi="Arial Narrow"/>
        </w:rPr>
        <w:lastRenderedPageBreak/>
        <w:t>Την τοποθέτηση ενός/μίας επιπλέον νηπιαγωγού σε κάθε Νηπιαγωγείο, ενός/μίας επιπλέον εκπαιδευτικού σε κάθε ολιγοθέσια σχολική μονάδα, με σύσταση οργανικών θέσεων, με σταθερή σχέση εργασίας και αποκλειστική διάθεση.</w:t>
      </w:r>
    </w:p>
    <w:p w:rsidR="00556C47" w:rsidRDefault="00556C47" w:rsidP="00556C47">
      <w:pPr>
        <w:pStyle w:val="a3"/>
        <w:numPr>
          <w:ilvl w:val="0"/>
          <w:numId w:val="1"/>
        </w:numPr>
        <w:spacing w:after="160" w:line="276" w:lineRule="auto"/>
        <w:jc w:val="both"/>
        <w:rPr>
          <w:rFonts w:ascii="Arial Narrow" w:hAnsi="Arial Narrow"/>
        </w:rPr>
      </w:pPr>
      <w:r>
        <w:rPr>
          <w:rFonts w:ascii="Arial Narrow" w:hAnsi="Arial Narrow"/>
        </w:rPr>
        <w:t>Την άμεση απόδοση των δεδουλευμένων υπερωριών στους/στις νηπιαγωγούς των οργανικά ή/και λειτουργικά 4/</w:t>
      </w:r>
      <w:proofErr w:type="spellStart"/>
      <w:r>
        <w:rPr>
          <w:rFonts w:ascii="Arial Narrow" w:hAnsi="Arial Narrow"/>
        </w:rPr>
        <w:t>θέσιων</w:t>
      </w:r>
      <w:proofErr w:type="spellEnd"/>
      <w:r>
        <w:rPr>
          <w:rFonts w:ascii="Arial Narrow" w:hAnsi="Arial Narrow"/>
        </w:rPr>
        <w:t xml:space="preserve"> νηπιαγωγείων.</w:t>
      </w:r>
    </w:p>
    <w:p w:rsidR="00556C47" w:rsidRDefault="00556C47" w:rsidP="00556C47">
      <w:pPr>
        <w:pStyle w:val="a3"/>
        <w:numPr>
          <w:ilvl w:val="0"/>
          <w:numId w:val="1"/>
        </w:numPr>
        <w:spacing w:after="160" w:line="276" w:lineRule="auto"/>
        <w:jc w:val="both"/>
        <w:rPr>
          <w:rFonts w:ascii="Arial Narrow" w:hAnsi="Arial Narrow"/>
        </w:rPr>
      </w:pPr>
      <w:r>
        <w:rPr>
          <w:rFonts w:ascii="Arial Narrow" w:hAnsi="Arial Narrow"/>
        </w:rPr>
        <w:t>Βοηθητικό Προσωπικό (καθαρίστριες/</w:t>
      </w:r>
      <w:proofErr w:type="spellStart"/>
      <w:r>
        <w:rPr>
          <w:rFonts w:ascii="Arial Narrow" w:hAnsi="Arial Narrow"/>
        </w:rPr>
        <w:t>ες</w:t>
      </w:r>
      <w:proofErr w:type="spellEnd"/>
      <w:r>
        <w:rPr>
          <w:rFonts w:ascii="Arial Narrow" w:hAnsi="Arial Narrow"/>
        </w:rPr>
        <w:t xml:space="preserve">-τραπεζοκόμους </w:t>
      </w:r>
      <w:proofErr w:type="spellStart"/>
      <w:r>
        <w:rPr>
          <w:rFonts w:ascii="Arial Narrow" w:hAnsi="Arial Narrow"/>
        </w:rPr>
        <w:t>κλπ</w:t>
      </w:r>
      <w:proofErr w:type="spellEnd"/>
      <w:r>
        <w:rPr>
          <w:rFonts w:ascii="Arial Narrow" w:hAnsi="Arial Narrow"/>
        </w:rPr>
        <w:t>) με μόνιμη και σταθερή σχέση εργασίας σε όλη την διάρκεια λειτουργίας του σχολείου.</w:t>
      </w:r>
    </w:p>
    <w:p w:rsidR="00556C47" w:rsidRDefault="00556C47" w:rsidP="00556C47">
      <w:pPr>
        <w:pStyle w:val="a3"/>
        <w:numPr>
          <w:ilvl w:val="0"/>
          <w:numId w:val="1"/>
        </w:numPr>
        <w:spacing w:after="160" w:line="276" w:lineRule="auto"/>
        <w:jc w:val="both"/>
        <w:rPr>
          <w:rFonts w:ascii="Arial Narrow" w:hAnsi="Arial Narrow"/>
        </w:rPr>
      </w:pPr>
      <w:r>
        <w:rPr>
          <w:rFonts w:ascii="Arial Narrow" w:hAnsi="Arial Narrow"/>
        </w:rPr>
        <w:t>Σύγχρονα ασφαλή Κτίρια/Ανεγέρσεις νέων σχολικών μονάδων/Όχι στα κοντέινερ και τα ΣΔΙΤ</w:t>
      </w:r>
    </w:p>
    <w:p w:rsidR="00556C47" w:rsidRDefault="00556C47" w:rsidP="00556C47">
      <w:pPr>
        <w:pStyle w:val="a3"/>
        <w:numPr>
          <w:ilvl w:val="0"/>
          <w:numId w:val="2"/>
        </w:numPr>
        <w:spacing w:after="160" w:line="276" w:lineRule="auto"/>
        <w:jc w:val="both"/>
        <w:rPr>
          <w:rFonts w:ascii="Arial Narrow" w:hAnsi="Arial Narrow"/>
        </w:rPr>
      </w:pPr>
      <w:r>
        <w:rPr>
          <w:rFonts w:ascii="Arial Narrow" w:hAnsi="Arial Narrow"/>
        </w:rPr>
        <w:t xml:space="preserve">Όχι στους ιδιώτες </w:t>
      </w:r>
      <w:proofErr w:type="spellStart"/>
      <w:r>
        <w:rPr>
          <w:rFonts w:ascii="Arial Narrow" w:hAnsi="Arial Narrow"/>
        </w:rPr>
        <w:t>παρόχους</w:t>
      </w:r>
      <w:proofErr w:type="spellEnd"/>
      <w:r>
        <w:rPr>
          <w:rFonts w:ascii="Arial Narrow" w:hAnsi="Arial Narrow"/>
        </w:rPr>
        <w:t xml:space="preserve"> υπηρεσιών του πιλοτικού προγράμματος του ταμείου ανάκαμψης, που με άλλοθι την υπαρκτή ανάγκη για πρώιμη παρέμβαση </w:t>
      </w:r>
      <w:r>
        <w:rPr>
          <w:rFonts w:ascii="Arial Narrow" w:hAnsi="Arial Narrow"/>
          <w:b/>
        </w:rPr>
        <w:t xml:space="preserve">«εισβάλλουν» για πρώτη φορά με </w:t>
      </w:r>
      <w:r>
        <w:rPr>
          <w:rFonts w:ascii="Arial Narrow" w:hAnsi="Arial Narrow"/>
          <w:b/>
          <w:bCs/>
          <w:kern w:val="36"/>
        </w:rPr>
        <w:t xml:space="preserve">VOUCHER στο δημόσιο νηπιαγωγείο. Η </w:t>
      </w:r>
      <w:r>
        <w:rPr>
          <w:rFonts w:ascii="Arial Narrow" w:hAnsi="Arial Narrow"/>
        </w:rPr>
        <w:t xml:space="preserve">πρώιμη παρέμβαση μαθητών με αναπηρία/ ή και ειδικές εκπαιδευτικές ανάγκες πρέπει να υπηρετείται από ένα δομημένο επιστημονικά, δημόσιο και δωρεάν πρόγραμμα πρώιμης παρέμβασης με δημόσιους λειτουργούς που θα έχουν σταθερή σχέση εργασίας. Από τμήματα με 15 μαθητές σε σύγχρονα και ασφαλή νηπιαγωγεία, στελεχωμένα με το αναγκαίο μόνιμο προσωπικό για την πλήρη υποστήριξη όλων των αναγκών τους. </w:t>
      </w:r>
    </w:p>
    <w:p w:rsidR="00556C47" w:rsidRDefault="00556C47" w:rsidP="00556C47">
      <w:pPr>
        <w:spacing w:line="240" w:lineRule="auto"/>
        <w:jc w:val="both"/>
        <w:rPr>
          <w:rFonts w:ascii="Arial Narrow" w:hAnsi="Arial Narrow"/>
          <w:b/>
          <w:sz w:val="40"/>
          <w:szCs w:val="40"/>
          <w:u w:val="single"/>
        </w:rPr>
      </w:pPr>
      <w:r>
        <w:rPr>
          <w:rFonts w:ascii="Arial Narrow" w:hAnsi="Arial Narrow"/>
          <w:b/>
          <w:sz w:val="40"/>
          <w:szCs w:val="40"/>
          <w:u w:val="single"/>
        </w:rPr>
        <w:t xml:space="preserve">14 νέες συγχωνεύσεις προτείνονται από τον προϊστάμενο Γ Αθήνας για την επόμενη χρονιά (31 νηπιαγωγεία </w:t>
      </w:r>
      <w:r w:rsidR="00773B5D">
        <w:rPr>
          <w:rFonts w:ascii="Arial Narrow" w:hAnsi="Arial Narrow"/>
          <w:b/>
          <w:sz w:val="40"/>
          <w:szCs w:val="40"/>
          <w:u w:val="single"/>
        </w:rPr>
        <w:t xml:space="preserve">ΚΑΙ 4 ΔΣ </w:t>
      </w:r>
      <w:bookmarkStart w:id="0" w:name="_GoBack"/>
      <w:bookmarkEnd w:id="0"/>
      <w:r>
        <w:rPr>
          <w:rFonts w:ascii="Arial Narrow" w:hAnsi="Arial Narrow"/>
          <w:b/>
          <w:sz w:val="40"/>
          <w:szCs w:val="40"/>
          <w:u w:val="single"/>
        </w:rPr>
        <w:t xml:space="preserve">για όλη τη Γ. Αθήνας). </w:t>
      </w:r>
    </w:p>
    <w:p w:rsidR="00556C47" w:rsidRDefault="00556C47" w:rsidP="00556C47">
      <w:pPr>
        <w:spacing w:line="240" w:lineRule="auto"/>
        <w:jc w:val="both"/>
        <w:rPr>
          <w:rFonts w:ascii="Arial Narrow" w:hAnsi="Arial Narrow"/>
          <w:b/>
          <w:sz w:val="24"/>
          <w:szCs w:val="24"/>
        </w:rPr>
      </w:pPr>
    </w:p>
    <w:p w:rsidR="00556C47" w:rsidRDefault="00556C47" w:rsidP="00556C47">
      <w:pPr>
        <w:spacing w:line="240" w:lineRule="auto"/>
        <w:jc w:val="both"/>
        <w:rPr>
          <w:rFonts w:ascii="Arial Narrow" w:hAnsi="Arial Narrow"/>
          <w:b/>
          <w:sz w:val="36"/>
          <w:szCs w:val="36"/>
        </w:rPr>
      </w:pPr>
      <w:r>
        <w:rPr>
          <w:rFonts w:ascii="Arial Narrow" w:hAnsi="Arial Narrow"/>
          <w:b/>
          <w:sz w:val="36"/>
          <w:szCs w:val="36"/>
          <w:highlight w:val="yellow"/>
        </w:rPr>
        <w:t>ΠΡΟΤΑΣΗ ΑΓΩΝΑ ΕΝΑΝΤΙΑ ΣΤΙΣ ΣΥΓΧΩΝΕΣΥΣΕΙΣ ΝΗΠΙΑΓΩΓΕΙΩΝ</w:t>
      </w:r>
    </w:p>
    <w:p w:rsidR="00556C47" w:rsidRDefault="00556C47" w:rsidP="00556C47">
      <w:pPr>
        <w:spacing w:line="240" w:lineRule="auto"/>
        <w:jc w:val="both"/>
        <w:rPr>
          <w:rFonts w:ascii="Arial Narrow" w:hAnsi="Arial Narrow"/>
          <w:b/>
          <w:sz w:val="36"/>
          <w:szCs w:val="36"/>
        </w:rPr>
      </w:pPr>
      <w:r>
        <w:rPr>
          <w:rFonts w:ascii="Arial Narrow" w:hAnsi="Arial Narrow"/>
          <w:b/>
          <w:sz w:val="36"/>
          <w:szCs w:val="36"/>
        </w:rPr>
        <w:t>Ενημέρωση ανά συγκρότημα στα προτεινόμενα νηπιαγωγεία (με γονείς και εκπαιδευτικούς).</w:t>
      </w:r>
    </w:p>
    <w:p w:rsidR="00556C47" w:rsidRDefault="00556C47" w:rsidP="00556C47">
      <w:pPr>
        <w:spacing w:line="240" w:lineRule="auto"/>
        <w:jc w:val="both"/>
        <w:rPr>
          <w:rFonts w:ascii="Arial Narrow" w:hAnsi="Arial Narrow"/>
          <w:b/>
          <w:sz w:val="36"/>
          <w:szCs w:val="36"/>
        </w:rPr>
      </w:pPr>
      <w:r>
        <w:rPr>
          <w:rFonts w:ascii="Arial Narrow" w:hAnsi="Arial Narrow"/>
          <w:b/>
          <w:sz w:val="36"/>
          <w:szCs w:val="36"/>
        </w:rPr>
        <w:t>Σύσκεψη με όλους τους εμπλεκόμενους (γονείς, εκπαιδευτικούς, ένωση γονέων).</w:t>
      </w:r>
    </w:p>
    <w:p w:rsidR="00556C47" w:rsidRDefault="00556C47" w:rsidP="00556C47">
      <w:pPr>
        <w:spacing w:line="240" w:lineRule="auto"/>
        <w:jc w:val="both"/>
        <w:rPr>
          <w:rFonts w:ascii="Arial Narrow" w:hAnsi="Arial Narrow"/>
          <w:b/>
          <w:sz w:val="36"/>
          <w:szCs w:val="36"/>
        </w:rPr>
      </w:pPr>
      <w:r>
        <w:rPr>
          <w:rFonts w:ascii="Arial Narrow" w:hAnsi="Arial Narrow"/>
          <w:b/>
          <w:sz w:val="36"/>
          <w:szCs w:val="36"/>
        </w:rPr>
        <w:t>Συντονισμός με τους ΣΕΠΕ της Γ. Αθήνας και κινητοποίηση σε ΠΥΣΠΕ, ΠΕΡΙΦΕΡΕΙΑ ΚΑΙ υπ. Παιδείας.</w:t>
      </w:r>
    </w:p>
    <w:p w:rsidR="00556C47" w:rsidRDefault="00556C47" w:rsidP="00556C47">
      <w:pPr>
        <w:spacing w:line="240" w:lineRule="auto"/>
        <w:jc w:val="both"/>
        <w:rPr>
          <w:rFonts w:ascii="Arial Narrow" w:hAnsi="Arial Narrow"/>
          <w:b/>
          <w:sz w:val="36"/>
          <w:szCs w:val="36"/>
        </w:rPr>
      </w:pPr>
      <w:r>
        <w:rPr>
          <w:rFonts w:ascii="Arial Narrow" w:hAnsi="Arial Narrow"/>
          <w:b/>
          <w:sz w:val="36"/>
          <w:szCs w:val="36"/>
        </w:rPr>
        <w:t>Συνέντευξη τύπου με όλους τους ΣΕΠΕ στα ΜΜΕ των περιοχών μας.</w:t>
      </w:r>
    </w:p>
    <w:p w:rsidR="00556C47" w:rsidRDefault="00556C47" w:rsidP="00556C47">
      <w:pPr>
        <w:spacing w:line="240" w:lineRule="auto"/>
        <w:jc w:val="both"/>
        <w:rPr>
          <w:rFonts w:ascii="Arial Narrow" w:hAnsi="Arial Narrow"/>
          <w:b/>
          <w:sz w:val="36"/>
          <w:szCs w:val="36"/>
        </w:rPr>
      </w:pPr>
      <w:r>
        <w:rPr>
          <w:rFonts w:ascii="Arial Narrow" w:hAnsi="Arial Narrow"/>
          <w:b/>
          <w:sz w:val="36"/>
          <w:szCs w:val="36"/>
        </w:rPr>
        <w:t>Αφίσες και πανό σε κεντρικά σημεία της πόλης.</w:t>
      </w:r>
    </w:p>
    <w:p w:rsidR="00556C47" w:rsidRDefault="00556C47" w:rsidP="00556C47">
      <w:pPr>
        <w:spacing w:line="240" w:lineRule="auto"/>
        <w:jc w:val="both"/>
        <w:rPr>
          <w:rFonts w:ascii="Arial Narrow" w:hAnsi="Arial Narrow"/>
          <w:b/>
          <w:sz w:val="36"/>
          <w:szCs w:val="36"/>
        </w:rPr>
      </w:pPr>
      <w:r>
        <w:rPr>
          <w:rFonts w:ascii="Arial Narrow" w:hAnsi="Arial Narrow"/>
          <w:b/>
          <w:sz w:val="36"/>
          <w:szCs w:val="36"/>
        </w:rPr>
        <w:t xml:space="preserve">Συγκέντρωση υπογραφών (δια ζώσης και διαδικτυακά) όλο το επόμενο διάστημα. </w:t>
      </w:r>
    </w:p>
    <w:p w:rsidR="0046747B" w:rsidRDefault="0046747B"/>
    <w:sectPr w:rsidR="0046747B" w:rsidSect="00556C47">
      <w:pgSz w:w="11906" w:h="16838"/>
      <w:pgMar w:top="142"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F3AC7"/>
    <w:multiLevelType w:val="hybridMultilevel"/>
    <w:tmpl w:val="360E09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4DFF6AB8"/>
    <w:multiLevelType w:val="multilevel"/>
    <w:tmpl w:val="DFDEF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D9"/>
    <w:rsid w:val="00136E69"/>
    <w:rsid w:val="0046747B"/>
    <w:rsid w:val="00556C47"/>
    <w:rsid w:val="00773B5D"/>
    <w:rsid w:val="008B28D9"/>
    <w:rsid w:val="00C92A8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B695"/>
  <w15:chartTrackingRefBased/>
  <w15:docId w15:val="{31E3F7A1-6960-41F5-9F07-ACAF0C6C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C47"/>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paragraph" w:styleId="a3">
    <w:name w:val="List Paragraph"/>
    <w:basedOn w:val="a"/>
    <w:uiPriority w:val="34"/>
    <w:qFormat/>
    <w:rsid w:val="00556C47"/>
    <w:pPr>
      <w:spacing w:after="0" w:line="240" w:lineRule="auto"/>
      <w:ind w:left="720"/>
      <w:contextualSpacing/>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5255</Characters>
  <Application>Microsoft Office Word</Application>
  <DocSecurity>0</DocSecurity>
  <Lines>43</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5</cp:revision>
  <dcterms:created xsi:type="dcterms:W3CDTF">2024-11-24T16:18:00Z</dcterms:created>
  <dcterms:modified xsi:type="dcterms:W3CDTF">2024-11-25T06:33:00Z</dcterms:modified>
</cp:coreProperties>
</file>